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8D39" w14:textId="77777777" w:rsidR="001C5011" w:rsidRPr="001C5011" w:rsidRDefault="001C5011" w:rsidP="001C5011">
      <w:pPr>
        <w:jc w:val="center"/>
        <w:rPr>
          <w:sz w:val="52"/>
          <w:szCs w:val="52"/>
        </w:rPr>
      </w:pPr>
      <w:r w:rsidRPr="001C5011">
        <w:rPr>
          <w:sz w:val="52"/>
          <w:szCs w:val="52"/>
        </w:rPr>
        <w:t xml:space="preserve">Grille de réponse </w:t>
      </w:r>
    </w:p>
    <w:p w14:paraId="03B2AFD8" w14:textId="676619D9" w:rsidR="009F0F0B" w:rsidRDefault="001C5011" w:rsidP="001C5011">
      <w:pPr>
        <w:jc w:val="center"/>
        <w:rPr>
          <w:sz w:val="36"/>
          <w:szCs w:val="36"/>
        </w:rPr>
      </w:pPr>
      <w:r w:rsidRPr="001C5011">
        <w:rPr>
          <w:sz w:val="36"/>
          <w:szCs w:val="36"/>
        </w:rPr>
        <w:t>(</w:t>
      </w:r>
      <w:proofErr w:type="gramStart"/>
      <w:r w:rsidRPr="001C5011">
        <w:rPr>
          <w:sz w:val="36"/>
          <w:szCs w:val="36"/>
        </w:rPr>
        <w:t>à</w:t>
      </w:r>
      <w:proofErr w:type="gramEnd"/>
      <w:r w:rsidRPr="001C5011">
        <w:rPr>
          <w:sz w:val="36"/>
          <w:szCs w:val="36"/>
        </w:rPr>
        <w:t xml:space="preserve"> renseigner par le soumissionnaire)</w:t>
      </w:r>
    </w:p>
    <w:tbl>
      <w:tblPr>
        <w:tblStyle w:val="Grilledutableau"/>
        <w:tblW w:w="10490" w:type="dxa"/>
        <w:tblInd w:w="-856" w:type="dxa"/>
        <w:tblLook w:val="04A0" w:firstRow="1" w:lastRow="0" w:firstColumn="1" w:lastColumn="0" w:noHBand="0" w:noVBand="1"/>
      </w:tblPr>
      <w:tblGrid>
        <w:gridCol w:w="3876"/>
        <w:gridCol w:w="3021"/>
        <w:gridCol w:w="3593"/>
      </w:tblGrid>
      <w:tr w:rsidR="001C5011" w14:paraId="02FDD57C" w14:textId="77777777" w:rsidTr="001C5011">
        <w:trPr>
          <w:trHeight w:val="865"/>
        </w:trPr>
        <w:tc>
          <w:tcPr>
            <w:tcW w:w="3876" w:type="dxa"/>
            <w:shd w:val="clear" w:color="auto" w:fill="8EAADB" w:themeFill="accent1" w:themeFillTint="99"/>
            <w:vAlign w:val="center"/>
          </w:tcPr>
          <w:p w14:paraId="50D7CB00" w14:textId="4C7A8991" w:rsidR="001C5011" w:rsidRPr="001C5011" w:rsidRDefault="001C5011" w:rsidP="001C5011">
            <w:pPr>
              <w:jc w:val="center"/>
              <w:rPr>
                <w:b/>
                <w:bCs/>
                <w:sz w:val="24"/>
                <w:szCs w:val="24"/>
              </w:rPr>
            </w:pPr>
            <w:r w:rsidRPr="001C5011">
              <w:rPr>
                <w:b/>
                <w:bCs/>
                <w:sz w:val="24"/>
                <w:szCs w:val="24"/>
              </w:rPr>
              <w:t>Objet de la demande</w:t>
            </w:r>
          </w:p>
        </w:tc>
        <w:tc>
          <w:tcPr>
            <w:tcW w:w="3021" w:type="dxa"/>
            <w:shd w:val="clear" w:color="auto" w:fill="8EAADB" w:themeFill="accent1" w:themeFillTint="99"/>
            <w:vAlign w:val="center"/>
          </w:tcPr>
          <w:p w14:paraId="019399AB" w14:textId="0454F627" w:rsidR="001C5011" w:rsidRPr="001C5011" w:rsidRDefault="001C5011" w:rsidP="001C5011">
            <w:pPr>
              <w:jc w:val="center"/>
              <w:rPr>
                <w:b/>
                <w:bCs/>
                <w:sz w:val="36"/>
                <w:szCs w:val="36"/>
              </w:rPr>
            </w:pPr>
            <w:r w:rsidRPr="001C5011">
              <w:rPr>
                <w:b/>
                <w:bCs/>
                <w:sz w:val="24"/>
                <w:szCs w:val="24"/>
              </w:rPr>
              <w:t>Information requise</w:t>
            </w:r>
          </w:p>
        </w:tc>
        <w:tc>
          <w:tcPr>
            <w:tcW w:w="3593" w:type="dxa"/>
            <w:shd w:val="clear" w:color="auto" w:fill="8EAADB" w:themeFill="accent1" w:themeFillTint="99"/>
            <w:vAlign w:val="center"/>
          </w:tcPr>
          <w:p w14:paraId="167AE05C" w14:textId="6195E374" w:rsidR="001C5011" w:rsidRPr="001C5011" w:rsidRDefault="001C5011" w:rsidP="001C5011">
            <w:pPr>
              <w:jc w:val="center"/>
              <w:rPr>
                <w:b/>
                <w:bCs/>
                <w:sz w:val="36"/>
                <w:szCs w:val="36"/>
              </w:rPr>
            </w:pPr>
            <w:r w:rsidRPr="001C5011">
              <w:rPr>
                <w:b/>
                <w:bCs/>
                <w:sz w:val="24"/>
                <w:szCs w:val="24"/>
              </w:rPr>
              <w:t>Réponse du soumissionnaire</w:t>
            </w:r>
          </w:p>
        </w:tc>
      </w:tr>
      <w:tr w:rsidR="001C5011" w:rsidRPr="001C5011" w14:paraId="02B6066E" w14:textId="77777777" w:rsidTr="001C5011">
        <w:trPr>
          <w:trHeight w:val="1271"/>
        </w:trPr>
        <w:tc>
          <w:tcPr>
            <w:tcW w:w="3876" w:type="dxa"/>
          </w:tcPr>
          <w:p w14:paraId="5EF3AD88" w14:textId="6ADAB340" w:rsidR="001C5011" w:rsidRPr="001C5011" w:rsidRDefault="001C5011" w:rsidP="001C5011">
            <w:pPr>
              <w:jc w:val="both"/>
            </w:pPr>
            <w:r w:rsidRPr="001C5011">
              <w:t>Circularité des matériaux constitutifs de la carrosserie</w:t>
            </w:r>
          </w:p>
        </w:tc>
        <w:tc>
          <w:tcPr>
            <w:tcW w:w="3021" w:type="dxa"/>
          </w:tcPr>
          <w:p w14:paraId="4555146F" w14:textId="42BE6736" w:rsidR="001C5011" w:rsidRPr="001C5011" w:rsidRDefault="001C5011" w:rsidP="001C5011">
            <w:pPr>
              <w:pStyle w:val="Default"/>
              <w:jc w:val="both"/>
              <w:rPr>
                <w:sz w:val="22"/>
                <w:szCs w:val="22"/>
              </w:rPr>
            </w:pPr>
            <w:r w:rsidRPr="001C5011">
              <w:rPr>
                <w:sz w:val="22"/>
                <w:szCs w:val="22"/>
              </w:rPr>
              <w:t xml:space="preserve">Part d’aluminium et d’acier constituant la carrosserie, exprimée en pourcentage du poids total de la carrosserie. </w:t>
            </w:r>
          </w:p>
        </w:tc>
        <w:tc>
          <w:tcPr>
            <w:tcW w:w="3593" w:type="dxa"/>
          </w:tcPr>
          <w:p w14:paraId="6BFDCD33" w14:textId="77777777" w:rsidR="001C5011" w:rsidRPr="001C5011" w:rsidRDefault="001C5011" w:rsidP="001C5011">
            <w:pPr>
              <w:jc w:val="both"/>
            </w:pPr>
          </w:p>
        </w:tc>
      </w:tr>
      <w:tr w:rsidR="001C5011" w:rsidRPr="001C5011" w14:paraId="2FE5A5E8" w14:textId="77777777" w:rsidTr="001C5011">
        <w:trPr>
          <w:trHeight w:val="1118"/>
        </w:trPr>
        <w:tc>
          <w:tcPr>
            <w:tcW w:w="3876" w:type="dxa"/>
          </w:tcPr>
          <w:p w14:paraId="1C2168D4" w14:textId="19CB8C19" w:rsidR="001C5011" w:rsidRPr="001C5011" w:rsidRDefault="001C5011" w:rsidP="001C5011">
            <w:pPr>
              <w:jc w:val="both"/>
            </w:pPr>
            <w:r w:rsidRPr="001C5011">
              <w:t>Part des matériaux issus du recyclage</w:t>
            </w:r>
          </w:p>
        </w:tc>
        <w:tc>
          <w:tcPr>
            <w:tcW w:w="3021" w:type="dxa"/>
          </w:tcPr>
          <w:p w14:paraId="48BF4FB4" w14:textId="49BCC671" w:rsidR="001C5011" w:rsidRPr="001C5011" w:rsidRDefault="001C5011" w:rsidP="001C5011">
            <w:pPr>
              <w:pStyle w:val="Default"/>
              <w:jc w:val="both"/>
              <w:rPr>
                <w:sz w:val="22"/>
                <w:szCs w:val="22"/>
              </w:rPr>
            </w:pPr>
            <w:r w:rsidRPr="001C5011">
              <w:rPr>
                <w:sz w:val="22"/>
                <w:szCs w:val="22"/>
              </w:rPr>
              <w:t xml:space="preserve">Part de matériaux issus du recyclage, exprimée en pourcentage du poids total du produit. </w:t>
            </w:r>
          </w:p>
        </w:tc>
        <w:tc>
          <w:tcPr>
            <w:tcW w:w="3593" w:type="dxa"/>
          </w:tcPr>
          <w:p w14:paraId="6E619031" w14:textId="77777777" w:rsidR="001C5011" w:rsidRPr="001C5011" w:rsidRDefault="001C5011" w:rsidP="001C5011">
            <w:pPr>
              <w:jc w:val="both"/>
            </w:pPr>
          </w:p>
        </w:tc>
      </w:tr>
      <w:tr w:rsidR="001C5011" w:rsidRPr="001C5011" w14:paraId="03BFA064" w14:textId="77777777" w:rsidTr="001C5011">
        <w:tc>
          <w:tcPr>
            <w:tcW w:w="3876" w:type="dxa"/>
          </w:tcPr>
          <w:p w14:paraId="181A83BC" w14:textId="106ED03C" w:rsidR="001C5011" w:rsidRPr="001C5011" w:rsidRDefault="001C5011" w:rsidP="001C5011">
            <w:pPr>
              <w:jc w:val="both"/>
            </w:pPr>
            <w:r w:rsidRPr="001C5011">
              <w:t>Ratio de réparabilité</w:t>
            </w:r>
          </w:p>
        </w:tc>
        <w:tc>
          <w:tcPr>
            <w:tcW w:w="3021" w:type="dxa"/>
          </w:tcPr>
          <w:p w14:paraId="10E525D2" w14:textId="77777777" w:rsidR="001C5011" w:rsidRPr="001C5011" w:rsidRDefault="001C5011" w:rsidP="001C5011">
            <w:pPr>
              <w:pStyle w:val="Default"/>
              <w:jc w:val="both"/>
              <w:rPr>
                <w:sz w:val="22"/>
                <w:szCs w:val="22"/>
              </w:rPr>
            </w:pPr>
            <w:r w:rsidRPr="001C5011">
              <w:rPr>
                <w:sz w:val="22"/>
                <w:szCs w:val="22"/>
              </w:rPr>
              <w:t xml:space="preserve">Ratio de réparabilité d’après la formule suivante, le résultat étant exprimé en pourcentage (sur la base de la nomenclature produit de niveau 1) : </w:t>
            </w:r>
          </w:p>
          <w:p w14:paraId="4C79B4E2" w14:textId="77777777" w:rsidR="001C5011" w:rsidRPr="001C5011" w:rsidRDefault="001C5011" w:rsidP="001C5011">
            <w:pPr>
              <w:jc w:val="both"/>
            </w:pPr>
            <w:proofErr w:type="gramStart"/>
            <w:r w:rsidRPr="001C5011">
              <w:t>nombre</w:t>
            </w:r>
            <w:proofErr w:type="gramEnd"/>
            <w:r w:rsidRPr="001C5011">
              <w:t xml:space="preserve"> de composants réparables ou remplaçables / nombre total de composants constituant le produit fini x 100 </w:t>
            </w:r>
          </w:p>
          <w:p w14:paraId="4C3C7D97" w14:textId="40DC2B40" w:rsidR="001C5011" w:rsidRPr="001C5011" w:rsidRDefault="001C5011" w:rsidP="001C5011">
            <w:pPr>
              <w:jc w:val="both"/>
            </w:pPr>
            <w:r w:rsidRPr="001C5011">
              <w:t xml:space="preserve">Précision : On entend par « remplaçable », toute pièce (ou ensemble de pièces) remplaçables par le fabricant ou un professionnel agréé par le fabricant  </w:t>
            </w:r>
          </w:p>
        </w:tc>
        <w:tc>
          <w:tcPr>
            <w:tcW w:w="3593" w:type="dxa"/>
          </w:tcPr>
          <w:p w14:paraId="47AAEFD5" w14:textId="77777777" w:rsidR="001C5011" w:rsidRPr="001C5011" w:rsidRDefault="001C5011" w:rsidP="001C5011">
            <w:pPr>
              <w:jc w:val="both"/>
            </w:pPr>
          </w:p>
        </w:tc>
      </w:tr>
      <w:tr w:rsidR="001C5011" w:rsidRPr="001C5011" w14:paraId="43B56B4C" w14:textId="77777777" w:rsidTr="001C5011">
        <w:tc>
          <w:tcPr>
            <w:tcW w:w="3876" w:type="dxa"/>
          </w:tcPr>
          <w:p w14:paraId="6D527E84" w14:textId="113BB496" w:rsidR="001C5011" w:rsidRPr="001C5011" w:rsidRDefault="001C5011" w:rsidP="001C5011">
            <w:pPr>
              <w:jc w:val="both"/>
            </w:pPr>
            <w:r w:rsidRPr="001C5011">
              <w:t>Disponibilité des pièces</w:t>
            </w:r>
          </w:p>
        </w:tc>
        <w:tc>
          <w:tcPr>
            <w:tcW w:w="3021" w:type="dxa"/>
          </w:tcPr>
          <w:p w14:paraId="0ABD2515" w14:textId="77777777" w:rsidR="001C5011" w:rsidRPr="001C5011" w:rsidRDefault="001C5011" w:rsidP="001C5011">
            <w:pPr>
              <w:pStyle w:val="Default"/>
              <w:jc w:val="both"/>
              <w:rPr>
                <w:sz w:val="22"/>
                <w:szCs w:val="22"/>
              </w:rPr>
            </w:pPr>
            <w:r w:rsidRPr="001C5011">
              <w:rPr>
                <w:sz w:val="22"/>
                <w:szCs w:val="22"/>
              </w:rPr>
              <w:t xml:space="preserve">Durée de disponibilité des pièces détachées, à compter de la date de fin de commercialisation du/des produit(s). </w:t>
            </w:r>
          </w:p>
          <w:p w14:paraId="10CC8ED5" w14:textId="77777777" w:rsidR="001C5011" w:rsidRPr="001C5011" w:rsidRDefault="001C5011" w:rsidP="001C5011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593" w:type="dxa"/>
          </w:tcPr>
          <w:p w14:paraId="1290450B" w14:textId="77777777" w:rsidR="001C5011" w:rsidRPr="001C5011" w:rsidRDefault="001C5011" w:rsidP="001C5011">
            <w:pPr>
              <w:jc w:val="both"/>
            </w:pPr>
          </w:p>
        </w:tc>
      </w:tr>
      <w:tr w:rsidR="001C5011" w:rsidRPr="001C5011" w14:paraId="1D439B54" w14:textId="77777777" w:rsidTr="001C5011">
        <w:tc>
          <w:tcPr>
            <w:tcW w:w="3876" w:type="dxa"/>
          </w:tcPr>
          <w:p w14:paraId="595CB6DB" w14:textId="1C746A12" w:rsidR="001C5011" w:rsidRPr="001C5011" w:rsidRDefault="001C5011" w:rsidP="001C5011">
            <w:pPr>
              <w:pStyle w:val="Default"/>
              <w:jc w:val="both"/>
              <w:rPr>
                <w:sz w:val="22"/>
                <w:szCs w:val="22"/>
              </w:rPr>
            </w:pPr>
            <w:r w:rsidRPr="001C5011">
              <w:rPr>
                <w:sz w:val="22"/>
                <w:szCs w:val="22"/>
              </w:rPr>
              <w:t>Durée de garantie</w:t>
            </w:r>
          </w:p>
        </w:tc>
        <w:tc>
          <w:tcPr>
            <w:tcW w:w="3021" w:type="dxa"/>
          </w:tcPr>
          <w:p w14:paraId="0243D66C" w14:textId="77777777" w:rsidR="001C5011" w:rsidRPr="001C5011" w:rsidRDefault="001C5011" w:rsidP="001C5011">
            <w:pPr>
              <w:pStyle w:val="Default"/>
              <w:jc w:val="both"/>
              <w:rPr>
                <w:sz w:val="22"/>
                <w:szCs w:val="22"/>
              </w:rPr>
            </w:pPr>
            <w:r w:rsidRPr="001C5011">
              <w:rPr>
                <w:sz w:val="22"/>
                <w:szCs w:val="22"/>
              </w:rPr>
              <w:t xml:space="preserve">Durée de garantie « principale » (portant sur la PAC dans son ensemble). </w:t>
            </w:r>
          </w:p>
          <w:p w14:paraId="227F07E2" w14:textId="77777777" w:rsidR="001C5011" w:rsidRPr="001C5011" w:rsidRDefault="001C5011" w:rsidP="001C5011">
            <w:pPr>
              <w:pStyle w:val="Default"/>
              <w:jc w:val="both"/>
              <w:rPr>
                <w:sz w:val="22"/>
                <w:szCs w:val="22"/>
              </w:rPr>
            </w:pPr>
            <w:r w:rsidRPr="001C5011">
              <w:rPr>
                <w:sz w:val="22"/>
                <w:szCs w:val="22"/>
              </w:rPr>
              <w:t xml:space="preserve">Indiquer également toute garanties additionnelle « spécifique » (couvrant un ou plusieurs organes spécifiques). </w:t>
            </w:r>
          </w:p>
          <w:p w14:paraId="54DFD8E8" w14:textId="7E5E2DE2" w:rsidR="001C5011" w:rsidRPr="001C5011" w:rsidRDefault="001C5011" w:rsidP="001C5011">
            <w:pPr>
              <w:pStyle w:val="Default"/>
              <w:jc w:val="both"/>
              <w:rPr>
                <w:sz w:val="22"/>
                <w:szCs w:val="22"/>
              </w:rPr>
            </w:pPr>
            <w:r w:rsidRPr="001C5011">
              <w:rPr>
                <w:sz w:val="22"/>
                <w:szCs w:val="22"/>
              </w:rPr>
              <w:t xml:space="preserve">Il est précisé que les extensions de garantie vendues à titre </w:t>
            </w:r>
            <w:r w:rsidRPr="001C5011">
              <w:rPr>
                <w:sz w:val="22"/>
                <w:szCs w:val="22"/>
              </w:rPr>
              <w:lastRenderedPageBreak/>
              <w:t xml:space="preserve">commercial ne doivent pas être prises en compte  </w:t>
            </w:r>
          </w:p>
        </w:tc>
        <w:tc>
          <w:tcPr>
            <w:tcW w:w="3593" w:type="dxa"/>
          </w:tcPr>
          <w:p w14:paraId="2A9124F5" w14:textId="77777777" w:rsidR="001C5011" w:rsidRPr="001C5011" w:rsidRDefault="001C5011" w:rsidP="001C5011">
            <w:pPr>
              <w:jc w:val="both"/>
            </w:pPr>
          </w:p>
        </w:tc>
      </w:tr>
      <w:tr w:rsidR="001C5011" w:rsidRPr="001C5011" w14:paraId="240ACED2" w14:textId="77777777" w:rsidTr="001C5011">
        <w:tc>
          <w:tcPr>
            <w:tcW w:w="3876" w:type="dxa"/>
          </w:tcPr>
          <w:p w14:paraId="2743A1C5" w14:textId="791AFC33" w:rsidR="001C5011" w:rsidRPr="001C5011" w:rsidRDefault="001C5011" w:rsidP="001C5011">
            <w:pPr>
              <w:jc w:val="both"/>
              <w:rPr>
                <w:rFonts w:eastAsia="Arial Unicode MS" w:cs="Tahoma"/>
                <w:kern w:val="3"/>
                <w:lang w:eastAsia="zh-CN" w:bidi="hi-IN"/>
                <w14:ligatures w14:val="none"/>
              </w:rPr>
            </w:pPr>
            <w:r w:rsidRPr="001C5011">
              <w:rPr>
                <w:rFonts w:eastAsia="Arial Unicode MS" w:cs="Tahoma"/>
                <w:kern w:val="3"/>
                <w:lang w:eastAsia="zh-CN" w:bidi="hi-IN"/>
                <w14:ligatures w14:val="none"/>
              </w:rPr>
              <w:t>Efficacité énergétique </w:t>
            </w:r>
          </w:p>
        </w:tc>
        <w:tc>
          <w:tcPr>
            <w:tcW w:w="3021" w:type="dxa"/>
          </w:tcPr>
          <w:p w14:paraId="1B9F0274" w14:textId="77777777" w:rsidR="001C5011" w:rsidRPr="001C5011" w:rsidRDefault="001C5011" w:rsidP="001C5011">
            <w:pPr>
              <w:pStyle w:val="Default"/>
              <w:jc w:val="both"/>
              <w:rPr>
                <w:sz w:val="22"/>
                <w:szCs w:val="22"/>
              </w:rPr>
            </w:pPr>
            <w:r w:rsidRPr="001C5011">
              <w:rPr>
                <w:sz w:val="22"/>
                <w:szCs w:val="22"/>
              </w:rPr>
              <w:t xml:space="preserve">Indice(s) ETAS du / des PAC proposée(s) dans l’offre </w:t>
            </w:r>
          </w:p>
          <w:p w14:paraId="68A1C7A6" w14:textId="77777777" w:rsidR="001C5011" w:rsidRPr="001C5011" w:rsidRDefault="001C5011" w:rsidP="001C5011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593" w:type="dxa"/>
          </w:tcPr>
          <w:p w14:paraId="21751747" w14:textId="77777777" w:rsidR="001C5011" w:rsidRPr="001C5011" w:rsidRDefault="001C5011" w:rsidP="001C5011">
            <w:pPr>
              <w:jc w:val="both"/>
            </w:pPr>
          </w:p>
        </w:tc>
      </w:tr>
      <w:tr w:rsidR="001C5011" w:rsidRPr="001C5011" w14:paraId="5C79F1AC" w14:textId="77777777" w:rsidTr="001C5011">
        <w:trPr>
          <w:trHeight w:val="1117"/>
        </w:trPr>
        <w:tc>
          <w:tcPr>
            <w:tcW w:w="3876" w:type="dxa"/>
          </w:tcPr>
          <w:p w14:paraId="075443FE" w14:textId="4D3943CD" w:rsidR="001C5011" w:rsidRPr="001C5011" w:rsidRDefault="001C5011" w:rsidP="001C5011">
            <w:pPr>
              <w:jc w:val="both"/>
              <w:rPr>
                <w:rFonts w:eastAsia="Arial Unicode MS" w:cs="Tahoma"/>
                <w:kern w:val="3"/>
                <w:lang w:eastAsia="zh-CN" w:bidi="hi-IN"/>
                <w14:ligatures w14:val="none"/>
              </w:rPr>
            </w:pPr>
            <w:r w:rsidRPr="001C5011">
              <w:rPr>
                <w:rFonts w:eastAsia="Arial Unicode MS" w:cs="Tahoma"/>
                <w:kern w:val="3"/>
                <w:lang w:eastAsia="zh-CN" w:bidi="hi-IN"/>
                <w14:ligatures w14:val="none"/>
              </w:rPr>
              <w:t>Pouvoir de réchauffement global (PRG) </w:t>
            </w:r>
          </w:p>
        </w:tc>
        <w:tc>
          <w:tcPr>
            <w:tcW w:w="3021" w:type="dxa"/>
          </w:tcPr>
          <w:p w14:paraId="7F6A6FB2" w14:textId="77777777" w:rsidR="001C5011" w:rsidRPr="001C5011" w:rsidRDefault="001C5011" w:rsidP="001C5011">
            <w:pPr>
              <w:pStyle w:val="Default"/>
              <w:jc w:val="both"/>
              <w:rPr>
                <w:sz w:val="22"/>
                <w:szCs w:val="22"/>
              </w:rPr>
            </w:pPr>
            <w:r w:rsidRPr="001C5011">
              <w:rPr>
                <w:sz w:val="22"/>
                <w:szCs w:val="22"/>
              </w:rPr>
              <w:t xml:space="preserve">Pour chaque PAC, indiquer le nom du fluide frigorigène, ainsi que son indice PRG. </w:t>
            </w:r>
          </w:p>
          <w:p w14:paraId="46C12191" w14:textId="77777777" w:rsidR="001C5011" w:rsidRPr="001C5011" w:rsidRDefault="001C5011" w:rsidP="001C5011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593" w:type="dxa"/>
          </w:tcPr>
          <w:p w14:paraId="7A319DA6" w14:textId="77777777" w:rsidR="001C5011" w:rsidRPr="001C5011" w:rsidRDefault="001C5011" w:rsidP="001C5011">
            <w:pPr>
              <w:jc w:val="both"/>
            </w:pPr>
          </w:p>
        </w:tc>
      </w:tr>
    </w:tbl>
    <w:p w14:paraId="56D2E51A" w14:textId="77777777" w:rsidR="001C5011" w:rsidRPr="001C5011" w:rsidRDefault="001C5011" w:rsidP="001C5011">
      <w:pPr>
        <w:jc w:val="both"/>
      </w:pPr>
    </w:p>
    <w:sectPr w:rsidR="001C5011" w:rsidRPr="001C50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FE8DE" w14:textId="77777777" w:rsidR="001C5011" w:rsidRDefault="001C5011" w:rsidP="001C5011">
      <w:pPr>
        <w:spacing w:after="0" w:line="240" w:lineRule="auto"/>
      </w:pPr>
      <w:r>
        <w:separator/>
      </w:r>
    </w:p>
  </w:endnote>
  <w:endnote w:type="continuationSeparator" w:id="0">
    <w:p w14:paraId="164A4D72" w14:textId="77777777" w:rsidR="001C5011" w:rsidRDefault="001C5011" w:rsidP="001C5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32ECB" w14:textId="77777777" w:rsidR="001C5011" w:rsidRDefault="001C5011" w:rsidP="001C5011">
      <w:pPr>
        <w:spacing w:after="0" w:line="240" w:lineRule="auto"/>
      </w:pPr>
      <w:r>
        <w:separator/>
      </w:r>
    </w:p>
  </w:footnote>
  <w:footnote w:type="continuationSeparator" w:id="0">
    <w:p w14:paraId="0F17A765" w14:textId="77777777" w:rsidR="001C5011" w:rsidRDefault="001C5011" w:rsidP="001C5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45A60" w14:textId="64786BF8" w:rsidR="001C5011" w:rsidRDefault="001C5011" w:rsidP="001C5011">
    <w:pPr>
      <w:pStyle w:val="En-tte"/>
      <w:jc w:val="center"/>
    </w:pPr>
    <w:r>
      <w:t>Consultation n°</w:t>
    </w:r>
    <w:r w:rsidRPr="001C5011">
      <w:t xml:space="preserve"> </w:t>
    </w:r>
    <w:r w:rsidRPr="00413DC8">
      <w:t>SNIA_PAI-ORL_MAPA_25-055</w:t>
    </w:r>
  </w:p>
  <w:p w14:paraId="25EFB309" w14:textId="77777777" w:rsidR="001C5011" w:rsidRDefault="001C5011" w:rsidP="001C5011">
    <w:pPr>
      <w:pStyle w:val="En-tte"/>
      <w:jc w:val="center"/>
    </w:pPr>
    <w:bookmarkStart w:id="0" w:name="R0_p5_a"/>
    <w:r>
      <w:t>Travaux de remplacement chaudières fioul par deux pompes à chaleur et mise en place de CTA</w:t>
    </w:r>
    <w:bookmarkEnd w:id="0"/>
  </w:p>
  <w:p w14:paraId="5F531134" w14:textId="7BE89D83" w:rsidR="001C5011" w:rsidRDefault="001C5011" w:rsidP="001C5011">
    <w:pPr>
      <w:pStyle w:val="En-tte"/>
      <w:jc w:val="center"/>
    </w:pPr>
    <w:r w:rsidRPr="001C5011">
      <w:t xml:space="preserve"> </w:t>
    </w:r>
    <w:r>
      <w:t>Centre des archives de la DGAC à Chevannes</w:t>
    </w:r>
  </w:p>
  <w:p w14:paraId="2FCBA779" w14:textId="52767B80" w:rsidR="001C5011" w:rsidRDefault="001C5011">
    <w:pPr>
      <w:pStyle w:val="En-tte"/>
    </w:pPr>
  </w:p>
  <w:p w14:paraId="45ACAED3" w14:textId="77777777" w:rsidR="001C5011" w:rsidRDefault="001C501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011"/>
    <w:rsid w:val="001C5011"/>
    <w:rsid w:val="005A335C"/>
    <w:rsid w:val="009F0F0B"/>
    <w:rsid w:val="00CE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E1673"/>
  <w15:chartTrackingRefBased/>
  <w15:docId w15:val="{144A8F1B-F464-4E25-B406-339B0D6C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C5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5011"/>
  </w:style>
  <w:style w:type="paragraph" w:styleId="Pieddepage">
    <w:name w:val="footer"/>
    <w:basedOn w:val="Normal"/>
    <w:link w:val="PieddepageCar"/>
    <w:uiPriority w:val="99"/>
    <w:unhideWhenUsed/>
    <w:rsid w:val="001C5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5011"/>
  </w:style>
  <w:style w:type="table" w:styleId="Grilledutableau">
    <w:name w:val="Table Grid"/>
    <w:basedOn w:val="TableauNormal"/>
    <w:uiPriority w:val="39"/>
    <w:rsid w:val="001C5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C5011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1299</Characters>
  <Application>Microsoft Office Word</Application>
  <DocSecurity>0</DocSecurity>
  <Lines>10</Lines>
  <Paragraphs>3</Paragraphs>
  <ScaleCrop>false</ScaleCrop>
  <Company>DGAC - CRNA-SO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Cambet-Gabarra</dc:creator>
  <cp:keywords/>
  <dc:description/>
  <cp:lastModifiedBy>Cecile Cambet-Gabarra</cp:lastModifiedBy>
  <cp:revision>2</cp:revision>
  <dcterms:created xsi:type="dcterms:W3CDTF">2025-07-11T08:26:00Z</dcterms:created>
  <dcterms:modified xsi:type="dcterms:W3CDTF">2025-07-11T08:26:00Z</dcterms:modified>
</cp:coreProperties>
</file>